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65" w:rsidRPr="009E51FC" w:rsidRDefault="006A5C65" w:rsidP="00683667">
      <w:r>
        <w:rPr>
          <w:noProof/>
        </w:rPr>
        <w:drawing>
          <wp:anchor distT="0" distB="0" distL="114300" distR="114300" simplePos="0" relativeHeight="251658240" behindDoc="1" locked="0" layoutInCell="1" allowOverlap="1" wp14:anchorId="5DB7B35D" wp14:editId="6B68E274">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9E5C82" w:rsidP="002B19C9">
            <w:pPr>
              <w:rPr>
                <w:rStyle w:val="Firstpagetablebold"/>
              </w:rPr>
            </w:pPr>
            <w:r>
              <w:rPr>
                <w:rStyle w:val="Firstpagetablebold"/>
              </w:rPr>
              <w:t>Cabinet</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0E739A" w:rsidP="000E739A">
            <w:pPr>
              <w:rPr>
                <w:b/>
              </w:rPr>
            </w:pPr>
            <w:r>
              <w:rPr>
                <w:rStyle w:val="Firstpagetablebold"/>
              </w:rPr>
              <w:t xml:space="preserve">11 November </w:t>
            </w:r>
            <w:r w:rsidR="002105CA">
              <w:rPr>
                <w:rStyle w:val="Firstpagetablebold"/>
              </w:rPr>
              <w:t>2020</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70249A" w:rsidP="002B19C9">
            <w:pPr>
              <w:rPr>
                <w:rStyle w:val="Firstpagetablebold"/>
              </w:rPr>
            </w:pPr>
            <w:r>
              <w:rPr>
                <w:rStyle w:val="Firstpagetablebold"/>
              </w:rPr>
              <w:t>Finance</w:t>
            </w:r>
            <w:r w:rsidR="00B10055">
              <w:rPr>
                <w:rStyle w:val="Firstpagetablebold"/>
              </w:rPr>
              <w:t xml:space="preserve"> </w:t>
            </w:r>
            <w:r w:rsidR="00386375">
              <w:rPr>
                <w:rStyle w:val="Firstpagetablebold"/>
              </w:rPr>
              <w:t xml:space="preserve">and Performance </w:t>
            </w:r>
            <w:r w:rsidR="00B10055">
              <w:rPr>
                <w:rStyle w:val="Firstpagetablebold"/>
              </w:rPr>
              <w:t>Panel</w:t>
            </w:r>
            <w:r w:rsidR="00C23082">
              <w:rPr>
                <w:rStyle w:val="Firstpagetablebold"/>
              </w:rPr>
              <w:t xml:space="preserve"> (Panel of the Scrutiny Committee)</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A25087" w:rsidP="002B19C9">
            <w:pPr>
              <w:rPr>
                <w:rStyle w:val="Firstpagetablebold"/>
                <w:b w:val="0"/>
              </w:rPr>
            </w:pPr>
            <w:r>
              <w:rPr>
                <w:b/>
              </w:rPr>
              <w:t>In</w:t>
            </w:r>
            <w:r w:rsidR="000E739A">
              <w:rPr>
                <w:b/>
              </w:rPr>
              <w:t>tegrated Performance Report 2020/21 Q1</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386375">
            <w:r>
              <w:t xml:space="preserve">To present </w:t>
            </w:r>
            <w:r w:rsidR="00386375">
              <w:t>Finance and Performance Panel</w:t>
            </w:r>
            <w:r>
              <w:t xml:space="preserve"> recommendations </w:t>
            </w:r>
            <w:r w:rsidR="00A25087">
              <w:t>concerning the Integrat</w:t>
            </w:r>
            <w:r w:rsidR="000E739A">
              <w:t>ed Performance Report 2020/21 Q1</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4370E4" w:rsidP="002B19C9">
            <w:r>
              <w:t>No</w:t>
            </w:r>
          </w:p>
          <w:p w:rsidR="00A13BC5" w:rsidRPr="001356F1" w:rsidRDefault="00A13BC5" w:rsidP="0070249A">
            <w:r>
              <w:t xml:space="preserve">Councillor </w:t>
            </w:r>
            <w:r w:rsidR="0070249A">
              <w:t>James Fry</w:t>
            </w:r>
            <w:r w:rsidR="009F3FC4">
              <w:t>,</w:t>
            </w:r>
            <w:r w:rsidR="0070249A">
              <w:t xml:space="preserve"> Chair of the </w:t>
            </w:r>
            <w:r w:rsidR="00386375">
              <w:t>Finance and Performance Panel</w:t>
            </w:r>
          </w:p>
        </w:tc>
      </w:tr>
      <w:tr w:rsidR="00A13BC5" w:rsidTr="002B19C9">
        <w:tc>
          <w:tcPr>
            <w:tcW w:w="2438" w:type="dxa"/>
            <w:tcBorders>
              <w:top w:val="nil"/>
              <w:left w:val="single" w:sz="8" w:space="0" w:color="000000"/>
              <w:bottom w:val="nil"/>
              <w:right w:val="nil"/>
            </w:tcBorders>
            <w:hideMark/>
          </w:tcPr>
          <w:p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70249A">
              <w:rPr>
                <w:color w:val="auto"/>
              </w:rPr>
              <w:t>Ed Turner, Cabinet Member for Finance and Asset Management</w:t>
            </w:r>
          </w:p>
          <w:p w:rsidR="00FD6BEA" w:rsidRPr="00D67D83" w:rsidRDefault="00FD6BEA" w:rsidP="00A32BC3">
            <w:pPr>
              <w:spacing w:after="0"/>
              <w:rPr>
                <w:color w:val="auto"/>
              </w:rPr>
            </w:pP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386375" w:rsidP="00B10055">
            <w:pPr>
              <w:rPr>
                <w:color w:val="auto"/>
              </w:rPr>
            </w:pPr>
            <w:r>
              <w:rPr>
                <w:color w:val="auto"/>
              </w:rPr>
              <w:t>All</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A25087" w:rsidP="00663FAE">
            <w:r>
              <w:t>Council Strategy 2020 - 24</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A25087">
            <w:r>
              <w:rPr>
                <w:rStyle w:val="Firstpagetablebold"/>
              </w:rPr>
              <w:t xml:space="preserve">Recommendation: That </w:t>
            </w:r>
            <w:r w:rsidR="009E5C82">
              <w:rPr>
                <w:rStyle w:val="Firstpagetablebold"/>
              </w:rPr>
              <w:t>Cabinet</w:t>
            </w:r>
            <w:r>
              <w:rPr>
                <w:rStyle w:val="Firstpagetablebold"/>
              </w:rPr>
              <w:t xml:space="preserve"> states whether it agrees or disagrees with the</w:t>
            </w:r>
            <w:r w:rsidR="006B37B9">
              <w:rPr>
                <w:rStyle w:val="Firstpagetablebold"/>
              </w:rPr>
              <w:t xml:space="preserve"> </w:t>
            </w:r>
            <w:r>
              <w:rPr>
                <w:rStyle w:val="Firstpagetablebold"/>
              </w:rPr>
              <w:t>recommendation</w:t>
            </w:r>
            <w:r w:rsidR="0011210E">
              <w:rPr>
                <w:rStyle w:val="Firstpagetablebold"/>
              </w:rPr>
              <w:t>s</w:t>
            </w:r>
            <w:r w:rsidR="00A25087">
              <w:rPr>
                <w:rStyle w:val="Firstpagetablebold"/>
              </w:rPr>
              <w:t xml:space="preserve"> made</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2B19C9">
            <w:pPr>
              <w:ind w:right="-6317"/>
              <w:rPr>
                <w:color w:val="auto"/>
              </w:rPr>
            </w:pPr>
            <w:r>
              <w:rPr>
                <w:color w:val="auto"/>
              </w:rPr>
              <w:t>None</w:t>
            </w:r>
          </w:p>
        </w:tc>
      </w:tr>
    </w:tbl>
    <w:p w:rsidR="0088675D" w:rsidRDefault="0088675D" w:rsidP="0088675D"/>
    <w:p w:rsidR="00A13BC5" w:rsidRPr="006525A6" w:rsidRDefault="00A13BC5" w:rsidP="006525A6">
      <w:pPr>
        <w:pStyle w:val="Heading1"/>
      </w:pPr>
      <w:r w:rsidRPr="006525A6">
        <w:t>Introduction and overview</w:t>
      </w:r>
    </w:p>
    <w:p w:rsidR="00D8785B" w:rsidRDefault="00B10055" w:rsidP="005F62E7">
      <w:pPr>
        <w:pStyle w:val="ListParagraph"/>
        <w:numPr>
          <w:ilvl w:val="0"/>
          <w:numId w:val="3"/>
        </w:numPr>
        <w:spacing w:after="0"/>
        <w:ind w:left="426" w:hanging="426"/>
      </w:pPr>
      <w:r>
        <w:t xml:space="preserve">At its meeting on </w:t>
      </w:r>
      <w:r w:rsidR="000E739A">
        <w:t>29 September</w:t>
      </w:r>
      <w:r w:rsidR="00A25087">
        <w:t xml:space="preserve"> </w:t>
      </w:r>
      <w:r w:rsidR="002105CA">
        <w:t>2020</w:t>
      </w:r>
      <w:r w:rsidR="00D8785B">
        <w:t xml:space="preserve">, the </w:t>
      </w:r>
      <w:r w:rsidR="00386375">
        <w:t>Finance and Performance Panel</w:t>
      </w:r>
      <w:r w:rsidR="00A13BC5">
        <w:t xml:space="preserve"> considered</w:t>
      </w:r>
      <w:r w:rsidR="00FD6BEA">
        <w:t xml:space="preserve"> </w:t>
      </w:r>
      <w:r w:rsidR="000E739A">
        <w:t>the</w:t>
      </w:r>
      <w:r w:rsidR="00A25087">
        <w:t xml:space="preserve"> Integ</w:t>
      </w:r>
      <w:r w:rsidR="000E739A">
        <w:t>rated Performance Report 2020/21 Q1</w:t>
      </w:r>
      <w:r w:rsidR="00386375">
        <w:t xml:space="preserve">, detailing the </w:t>
      </w:r>
      <w:r w:rsidR="00A25087">
        <w:t xml:space="preserve">Council’s </w:t>
      </w:r>
      <w:r w:rsidR="000E739A">
        <w:t xml:space="preserve">results against its </w:t>
      </w:r>
      <w:r w:rsidR="00A25087">
        <w:t>financial, performance and risk measures</w:t>
      </w:r>
      <w:r w:rsidR="00D8785B">
        <w:t xml:space="preserve">. </w:t>
      </w:r>
      <w:r w:rsidR="000E739A">
        <w:t xml:space="preserve">This report had been considered by Cabinet on 12 August 2020, meaning that due to the timing of the Finance and Performance Panel the item was subjected to post-decision scrutiny, rather than the standard pre-decision scrutiny. </w:t>
      </w:r>
    </w:p>
    <w:p w:rsidR="00B06D07" w:rsidRDefault="00B06D07" w:rsidP="00EA0754">
      <w:pPr>
        <w:spacing w:after="0"/>
      </w:pPr>
    </w:p>
    <w:p w:rsidR="00D8785B" w:rsidRPr="00386375" w:rsidRDefault="00A13BC5" w:rsidP="007E24A0">
      <w:pPr>
        <w:pStyle w:val="ListParagraph"/>
        <w:numPr>
          <w:ilvl w:val="0"/>
          <w:numId w:val="3"/>
        </w:numPr>
        <w:spacing w:after="0"/>
        <w:ind w:left="426" w:hanging="426"/>
      </w:pPr>
      <w:r>
        <w:t>The Panel would like to thank</w:t>
      </w:r>
      <w:r w:rsidR="00A25087">
        <w:t xml:space="preserve"> </w:t>
      </w:r>
      <w:r w:rsidR="002105CA">
        <w:t xml:space="preserve">Nigel Kennedy, Head of Financial Services, </w:t>
      </w:r>
      <w:r w:rsidR="000E739A">
        <w:t xml:space="preserve">and Helen Bishop, Head of Business Improvement, </w:t>
      </w:r>
      <w:r w:rsidR="00A25087">
        <w:t xml:space="preserve">for compiling the report and </w:t>
      </w:r>
      <w:r w:rsidR="00A25087">
        <w:lastRenderedPageBreak/>
        <w:t>supporting the meeting</w:t>
      </w:r>
      <w:r w:rsidR="000E739A">
        <w:t xml:space="preserve">, </w:t>
      </w:r>
      <w:r w:rsidR="00A25087">
        <w:t>and</w:t>
      </w:r>
      <w:r w:rsidR="002105CA">
        <w:t xml:space="preserve"> Anna Winship, Management Accountancy Manager</w:t>
      </w:r>
      <w:r w:rsidR="007B0C3F">
        <w:t>,</w:t>
      </w:r>
      <w:r w:rsidR="00D8785B">
        <w:t xml:space="preserve"> </w:t>
      </w:r>
      <w:r w:rsidR="002105CA">
        <w:t>for</w:t>
      </w:r>
      <w:r w:rsidR="00A25087">
        <w:t xml:space="preserve"> </w:t>
      </w:r>
      <w:r w:rsidR="00B10055">
        <w:t>presenting the report</w:t>
      </w:r>
      <w:r w:rsidR="002105CA">
        <w:t xml:space="preserve"> and answering questions.</w:t>
      </w:r>
      <w:r w:rsidR="00D8785B">
        <w:rPr>
          <w:rFonts w:cs="Arial"/>
          <w:bCs/>
          <w:color w:val="auto"/>
        </w:rPr>
        <w:t xml:space="preserve"> </w:t>
      </w:r>
    </w:p>
    <w:p w:rsidR="00386375" w:rsidRPr="00D8785B" w:rsidRDefault="00386375" w:rsidP="00386375">
      <w:pPr>
        <w:pStyle w:val="ListParagraph"/>
        <w:numPr>
          <w:ilvl w:val="0"/>
          <w:numId w:val="0"/>
        </w:numPr>
        <w:ind w:left="360"/>
      </w:pPr>
    </w:p>
    <w:p w:rsidR="00B51CD4" w:rsidRPr="005F2027" w:rsidRDefault="00A13BC5" w:rsidP="006525A6">
      <w:pPr>
        <w:pStyle w:val="Heading1"/>
      </w:pPr>
      <w:r w:rsidRPr="00B06D07">
        <w:t xml:space="preserve">Summary </w:t>
      </w:r>
    </w:p>
    <w:p w:rsidR="00CD472C" w:rsidRDefault="00594BF5" w:rsidP="00CD472C">
      <w:pPr>
        <w:pStyle w:val="ListParagraph"/>
        <w:numPr>
          <w:ilvl w:val="0"/>
          <w:numId w:val="3"/>
        </w:numPr>
        <w:spacing w:after="0"/>
      </w:pPr>
      <w:r>
        <w:t xml:space="preserve">The Panel was introduced to the Cabinet report by </w:t>
      </w:r>
      <w:r w:rsidR="00523690">
        <w:t xml:space="preserve">Anna Winship, Management Accountancy Manager. </w:t>
      </w:r>
      <w:r w:rsidR="00CD472C">
        <w:t xml:space="preserve">The main financial, risk and performance headlines were outlined to the Panel with explanations provided for the main causes. </w:t>
      </w:r>
      <w:r w:rsidR="0011210E">
        <w:t xml:space="preserve">The main focus of discussion was in relation to the Council’s finances, with attention given to the major areas of reduced income and increased expenditure. </w:t>
      </w:r>
    </w:p>
    <w:p w:rsidR="009E6F93" w:rsidRDefault="009E6F93" w:rsidP="009E6F93">
      <w:pPr>
        <w:pStyle w:val="ListParagraph"/>
        <w:numPr>
          <w:ilvl w:val="0"/>
          <w:numId w:val="0"/>
        </w:numPr>
        <w:spacing w:after="0"/>
        <w:ind w:left="360"/>
      </w:pPr>
    </w:p>
    <w:p w:rsidR="00C23082" w:rsidRDefault="00C23082" w:rsidP="00E60051">
      <w:pPr>
        <w:pStyle w:val="ListParagraph"/>
        <w:numPr>
          <w:ilvl w:val="0"/>
          <w:numId w:val="3"/>
        </w:numPr>
        <w:spacing w:after="0"/>
      </w:pPr>
      <w:r>
        <w:t xml:space="preserve">The </w:t>
      </w:r>
      <w:r w:rsidR="00AA012E">
        <w:t xml:space="preserve">Panel makes </w:t>
      </w:r>
      <w:r w:rsidR="0011210E">
        <w:t>two</w:t>
      </w:r>
      <w:r w:rsidR="00A25087">
        <w:t xml:space="preserve"> recommendation</w:t>
      </w:r>
      <w:r w:rsidR="0011210E">
        <w:t>s</w:t>
      </w:r>
      <w:r w:rsidR="00A25087">
        <w:t xml:space="preserve"> </w:t>
      </w:r>
      <w:r w:rsidR="009114ED">
        <w:t xml:space="preserve">concerning the </w:t>
      </w:r>
      <w:r w:rsidR="0011210E">
        <w:t xml:space="preserve">treatment and presentation of the Council’s capital budget, particularly </w:t>
      </w:r>
      <w:r w:rsidR="009114ED">
        <w:t xml:space="preserve">in relation to the application of an </w:t>
      </w:r>
      <w:r w:rsidR="00EA7E67">
        <w:t>‘</w:t>
      </w:r>
      <w:r w:rsidR="009114ED">
        <w:t>optimism bias</w:t>
      </w:r>
      <w:r w:rsidR="00EA7E67">
        <w:t>’</w:t>
      </w:r>
      <w:r w:rsidR="0011210E">
        <w:t xml:space="preserve">. </w:t>
      </w:r>
    </w:p>
    <w:p w:rsidR="00C23082" w:rsidRDefault="00C23082" w:rsidP="00C23082">
      <w:pPr>
        <w:pStyle w:val="ListParagraph"/>
        <w:numPr>
          <w:ilvl w:val="0"/>
          <w:numId w:val="0"/>
        </w:numPr>
        <w:spacing w:after="0"/>
        <w:ind w:left="357"/>
      </w:pPr>
    </w:p>
    <w:p w:rsidR="004079FE" w:rsidRPr="004079FE" w:rsidRDefault="0011210E" w:rsidP="00D61919">
      <w:pPr>
        <w:pStyle w:val="Heading1"/>
      </w:pPr>
      <w:r>
        <w:t>Treatment and Presentation of</w:t>
      </w:r>
      <w:r w:rsidR="009114ED">
        <w:t xml:space="preserve"> Capital Budget</w:t>
      </w:r>
    </w:p>
    <w:p w:rsidR="00E21918" w:rsidRPr="00E21918" w:rsidRDefault="00C34D2A" w:rsidP="009114ED">
      <w:pPr>
        <w:pStyle w:val="ListParagraph"/>
        <w:numPr>
          <w:ilvl w:val="0"/>
          <w:numId w:val="3"/>
        </w:numPr>
        <w:spacing w:after="0"/>
      </w:pPr>
      <w:r>
        <w:t>The Panel discussed in detail paragraph</w:t>
      </w:r>
      <w:r w:rsidR="00EA7E67">
        <w:t xml:space="preserve"> 16, particularly the section on ‘optimism  bias’, a mechanism to offset the optimism of project managers regarding the delivery of projects.</w:t>
      </w:r>
      <w:r w:rsidR="00E21918">
        <w:t xml:space="preserve"> The effect of the optimism bias as applied to the Council’s budget was stated in the Cabinet report to </w:t>
      </w:r>
      <w:r w:rsidR="00E21918" w:rsidRPr="00452FEE">
        <w:rPr>
          <w:color w:val="auto"/>
        </w:rPr>
        <w:t>reduce the forecast outturn of</w:t>
      </w:r>
      <w:r w:rsidR="00E21918">
        <w:rPr>
          <w:color w:val="auto"/>
        </w:rPr>
        <w:t xml:space="preserve"> the capital programme from</w:t>
      </w:r>
      <w:r w:rsidR="00E21918" w:rsidRPr="00452FEE">
        <w:rPr>
          <w:color w:val="auto"/>
        </w:rPr>
        <w:t xml:space="preserve"> £96.27 million to £81.169 million</w:t>
      </w:r>
      <w:r w:rsidR="00E21918">
        <w:rPr>
          <w:color w:val="auto"/>
        </w:rPr>
        <w:t>.</w:t>
      </w:r>
    </w:p>
    <w:p w:rsidR="00E21918" w:rsidRPr="00E21918" w:rsidRDefault="00E21918" w:rsidP="00E21918">
      <w:pPr>
        <w:pStyle w:val="ListParagraph"/>
        <w:numPr>
          <w:ilvl w:val="0"/>
          <w:numId w:val="0"/>
        </w:numPr>
        <w:spacing w:after="0"/>
        <w:ind w:left="360"/>
      </w:pPr>
    </w:p>
    <w:p w:rsidR="009114ED" w:rsidRPr="0011210E" w:rsidRDefault="009114ED" w:rsidP="009114ED">
      <w:pPr>
        <w:pStyle w:val="ListParagraph"/>
        <w:numPr>
          <w:ilvl w:val="0"/>
          <w:numId w:val="3"/>
        </w:numPr>
        <w:spacing w:after="0"/>
        <w:rPr>
          <w:color w:val="auto"/>
        </w:rPr>
      </w:pPr>
      <w:r w:rsidRPr="0011210E">
        <w:rPr>
          <w:rFonts w:cs="Arial"/>
          <w:color w:val="auto"/>
        </w:rPr>
        <w:t xml:space="preserve">The Panel expressed some scepticism about </w:t>
      </w:r>
      <w:r w:rsidR="00EA7E67" w:rsidRPr="0011210E">
        <w:rPr>
          <w:rFonts w:cs="Arial"/>
          <w:color w:val="auto"/>
        </w:rPr>
        <w:t>the inclusion of optimism bias</w:t>
      </w:r>
      <w:r w:rsidRPr="0011210E">
        <w:rPr>
          <w:rFonts w:cs="Arial"/>
          <w:color w:val="auto"/>
        </w:rPr>
        <w:t xml:space="preserve"> into the capital programme especially as it was not allocated to specific capital projects </w:t>
      </w:r>
      <w:r w:rsidR="00EA7E67" w:rsidRPr="0011210E">
        <w:rPr>
          <w:rFonts w:cs="Arial"/>
          <w:color w:val="auto"/>
        </w:rPr>
        <w:t xml:space="preserve">(though </w:t>
      </w:r>
      <w:r w:rsidRPr="0011210E">
        <w:rPr>
          <w:rFonts w:cs="Arial"/>
          <w:color w:val="auto"/>
        </w:rPr>
        <w:t>it was noted that individual projects did have amounts included for slippage in addition to this</w:t>
      </w:r>
      <w:r w:rsidR="00EA7E67" w:rsidRPr="0011210E">
        <w:rPr>
          <w:rFonts w:cs="Arial"/>
          <w:color w:val="auto"/>
        </w:rPr>
        <w:t>)</w:t>
      </w:r>
      <w:r w:rsidRPr="0011210E">
        <w:rPr>
          <w:rFonts w:cs="Arial"/>
          <w:color w:val="auto"/>
        </w:rPr>
        <w:t xml:space="preserve">. The </w:t>
      </w:r>
      <w:r w:rsidR="001C272B">
        <w:rPr>
          <w:rFonts w:cs="Arial"/>
          <w:color w:val="auto"/>
        </w:rPr>
        <w:t>Panel</w:t>
      </w:r>
      <w:r w:rsidR="001C272B" w:rsidRPr="0011210E">
        <w:rPr>
          <w:rFonts w:cs="Arial"/>
          <w:color w:val="auto"/>
        </w:rPr>
        <w:t xml:space="preserve"> </w:t>
      </w:r>
      <w:r w:rsidRPr="0011210E">
        <w:rPr>
          <w:rFonts w:cs="Arial"/>
          <w:color w:val="auto"/>
        </w:rPr>
        <w:t>wondered whether the optimism bias could be allocated to individual projects and whether it was in fact a netted down amount for not only slippage but proje</w:t>
      </w:r>
      <w:r w:rsidR="00EA7E67" w:rsidRPr="0011210E">
        <w:rPr>
          <w:rFonts w:cs="Arial"/>
          <w:color w:val="auto"/>
        </w:rPr>
        <w:t>ct overruns and sought further</w:t>
      </w:r>
      <w:r w:rsidRPr="0011210E">
        <w:rPr>
          <w:rFonts w:cs="Arial"/>
          <w:color w:val="auto"/>
        </w:rPr>
        <w:t xml:space="preserve"> information on how the amount was ca</w:t>
      </w:r>
      <w:r w:rsidR="00EA7E67" w:rsidRPr="0011210E">
        <w:rPr>
          <w:rFonts w:cs="Arial"/>
          <w:color w:val="auto"/>
        </w:rPr>
        <w:t xml:space="preserve">lculated. It was also questioned </w:t>
      </w:r>
      <w:r w:rsidRPr="0011210E">
        <w:rPr>
          <w:rFonts w:cs="Arial"/>
          <w:color w:val="auto"/>
        </w:rPr>
        <w:t xml:space="preserve">whether </w:t>
      </w:r>
      <w:r w:rsidR="00E21918" w:rsidRPr="0011210E">
        <w:rPr>
          <w:rFonts w:cs="Arial"/>
          <w:color w:val="auto"/>
        </w:rPr>
        <w:t>the term</w:t>
      </w:r>
      <w:r w:rsidRPr="0011210E">
        <w:rPr>
          <w:rFonts w:cs="Arial"/>
          <w:color w:val="auto"/>
        </w:rPr>
        <w:t xml:space="preserve"> was just another word for ‘slippage’ and simply a replacement for project manager accountability for the spend on </w:t>
      </w:r>
      <w:r w:rsidR="004370E4">
        <w:rPr>
          <w:rFonts w:cs="Arial"/>
          <w:color w:val="auto"/>
        </w:rPr>
        <w:t xml:space="preserve">and delivery of </w:t>
      </w:r>
      <w:r w:rsidRPr="0011210E">
        <w:rPr>
          <w:rFonts w:cs="Arial"/>
          <w:color w:val="auto"/>
        </w:rPr>
        <w:t>the</w:t>
      </w:r>
      <w:r w:rsidR="00E21918" w:rsidRPr="0011210E">
        <w:rPr>
          <w:rFonts w:cs="Arial"/>
          <w:color w:val="auto"/>
        </w:rPr>
        <w:t>ir projects. The Head of Financial Services</w:t>
      </w:r>
      <w:r w:rsidRPr="0011210E">
        <w:rPr>
          <w:rFonts w:cs="Arial"/>
          <w:color w:val="auto"/>
        </w:rPr>
        <w:t xml:space="preserve"> advised that the amount included for optimism bias was generally a downward adjustment rather than allowing for increases in costs, this was an industry practice and was an attempt to overcome the tendency of project managers to be overly optimistic in how their projects were performing. In the past the </w:t>
      </w:r>
      <w:r w:rsidR="001C272B">
        <w:rPr>
          <w:rFonts w:cs="Arial"/>
          <w:color w:val="auto"/>
        </w:rPr>
        <w:t>C</w:t>
      </w:r>
      <w:r w:rsidR="001C272B" w:rsidRPr="0011210E">
        <w:rPr>
          <w:rFonts w:cs="Arial"/>
          <w:color w:val="auto"/>
        </w:rPr>
        <w:t xml:space="preserve">ouncil </w:t>
      </w:r>
      <w:r w:rsidRPr="0011210E">
        <w:rPr>
          <w:rFonts w:cs="Arial"/>
          <w:color w:val="auto"/>
        </w:rPr>
        <w:t xml:space="preserve">had experienced significant slippage in the capital projects and the inclusion of an amount for optimism bias was simply a means of adjusting for the ‘overly optimistic’ views of </w:t>
      </w:r>
      <w:r w:rsidR="001C272B">
        <w:rPr>
          <w:rFonts w:cs="Arial"/>
          <w:color w:val="auto"/>
        </w:rPr>
        <w:t xml:space="preserve">project </w:t>
      </w:r>
      <w:r w:rsidRPr="0011210E">
        <w:rPr>
          <w:rFonts w:cs="Arial"/>
          <w:color w:val="auto"/>
        </w:rPr>
        <w:t xml:space="preserve">managers of how much they would spend  and consequently how much of the whole capital programme would be spent by year end. </w:t>
      </w:r>
    </w:p>
    <w:p w:rsidR="00E21918" w:rsidRPr="0011210E" w:rsidRDefault="00E21918" w:rsidP="00E21918">
      <w:pPr>
        <w:pStyle w:val="ListParagraph"/>
        <w:numPr>
          <w:ilvl w:val="0"/>
          <w:numId w:val="0"/>
        </w:numPr>
        <w:spacing w:after="0"/>
        <w:ind w:left="360"/>
        <w:rPr>
          <w:color w:val="auto"/>
        </w:rPr>
      </w:pPr>
    </w:p>
    <w:p w:rsidR="003F2FDA" w:rsidRPr="0011210E" w:rsidRDefault="00D32640" w:rsidP="009114ED">
      <w:pPr>
        <w:pStyle w:val="ListParagraph"/>
        <w:numPr>
          <w:ilvl w:val="0"/>
          <w:numId w:val="3"/>
        </w:numPr>
        <w:spacing w:after="0"/>
        <w:rPr>
          <w:color w:val="auto"/>
        </w:rPr>
      </w:pPr>
      <w:r w:rsidRPr="0011210E">
        <w:rPr>
          <w:rFonts w:cs="Arial"/>
          <w:color w:val="auto"/>
        </w:rPr>
        <w:t xml:space="preserve">The suggestion of the Panel is that as currently presented, with </w:t>
      </w:r>
      <w:r w:rsidR="00876C61" w:rsidRPr="0011210E">
        <w:rPr>
          <w:rFonts w:cs="Arial"/>
          <w:color w:val="auto"/>
        </w:rPr>
        <w:t>the capital programme outturn incorporating a reduction on the basis of the optimism bias, the application of the optimism bias</w:t>
      </w:r>
      <w:r w:rsidRPr="0011210E">
        <w:rPr>
          <w:rFonts w:cs="Arial"/>
          <w:color w:val="auto"/>
        </w:rPr>
        <w:t xml:space="preserve"> may provide a m</w:t>
      </w:r>
      <w:r w:rsidR="00876C61" w:rsidRPr="0011210E">
        <w:rPr>
          <w:rFonts w:cs="Arial"/>
          <w:color w:val="auto"/>
        </w:rPr>
        <w:t>isleading picture. Instead, a clearer way of presenting it would be to present the Council’s forecast outturn for the capital programme without reductions, and subsequently to highlight the proportion at risk of non-delivery due to over-optimis</w:t>
      </w:r>
      <w:r w:rsidR="003F2FDA" w:rsidRPr="0011210E">
        <w:rPr>
          <w:rFonts w:cs="Arial"/>
          <w:color w:val="auto"/>
        </w:rPr>
        <w:t xml:space="preserve">m by project managers. </w:t>
      </w:r>
      <w:r w:rsidR="007C790E" w:rsidRPr="0011210E">
        <w:rPr>
          <w:rFonts w:cs="Arial"/>
          <w:color w:val="auto"/>
        </w:rPr>
        <w:t xml:space="preserve">The Panel suggests one way to draw out this level of risk is through the aggregation </w:t>
      </w:r>
      <w:r w:rsidR="007C790E" w:rsidRPr="0011210E">
        <w:rPr>
          <w:rFonts w:cs="Arial"/>
          <w:color w:val="auto"/>
        </w:rPr>
        <w:lastRenderedPageBreak/>
        <w:t xml:space="preserve">of the risk levels assigned to each project in the budget. Doing so would </w:t>
      </w:r>
      <w:r w:rsidR="0097712B" w:rsidRPr="0011210E">
        <w:rPr>
          <w:rFonts w:cs="Arial"/>
          <w:color w:val="auto"/>
        </w:rPr>
        <w:t xml:space="preserve">mean that the Council’s budgeted figure for capital spending was not interfered with in any way, but that there was also a way for the Council to be transparent regarding the extent of its uncertainty over delivery for the projects within its capital programme. </w:t>
      </w:r>
    </w:p>
    <w:p w:rsidR="0097712B" w:rsidRPr="0011210E" w:rsidRDefault="0097712B" w:rsidP="0097712B">
      <w:pPr>
        <w:pStyle w:val="ListParagraph"/>
        <w:numPr>
          <w:ilvl w:val="0"/>
          <w:numId w:val="0"/>
        </w:numPr>
        <w:ind w:left="360"/>
        <w:rPr>
          <w:color w:val="auto"/>
        </w:rPr>
      </w:pPr>
    </w:p>
    <w:p w:rsidR="0097712B" w:rsidRPr="0011210E" w:rsidRDefault="0097712B" w:rsidP="00145F58">
      <w:pPr>
        <w:spacing w:after="0"/>
        <w:ind w:left="720"/>
        <w:rPr>
          <w:color w:val="auto"/>
        </w:rPr>
      </w:pPr>
      <w:r w:rsidRPr="0011210E">
        <w:rPr>
          <w:b/>
          <w:i/>
          <w:color w:val="auto"/>
        </w:rPr>
        <w:t xml:space="preserve">Recommendation 1: That the Council </w:t>
      </w:r>
      <w:r w:rsidRPr="0011210E">
        <w:rPr>
          <w:b/>
          <w:i/>
          <w:color w:val="auto"/>
          <w:szCs w:val="22"/>
        </w:rPr>
        <w:t>ceases to net off uncertainty over its capital programme through the use of an optimism bias, and instead uses an aggregation of the level of risks given to each project in the budget to present the proportion of that figure over which the Council is uncertain of delivery.</w:t>
      </w:r>
    </w:p>
    <w:p w:rsidR="00145F58" w:rsidRPr="0011210E" w:rsidRDefault="00145F58" w:rsidP="0011210E">
      <w:pPr>
        <w:spacing w:after="0"/>
        <w:rPr>
          <w:color w:val="auto"/>
        </w:rPr>
      </w:pPr>
    </w:p>
    <w:p w:rsidR="00E21918" w:rsidRPr="0011210E" w:rsidRDefault="003F2FDA" w:rsidP="00145F58">
      <w:pPr>
        <w:pStyle w:val="ListParagraph"/>
        <w:numPr>
          <w:ilvl w:val="0"/>
          <w:numId w:val="3"/>
        </w:numPr>
        <w:spacing w:after="0"/>
        <w:rPr>
          <w:color w:val="auto"/>
        </w:rPr>
      </w:pPr>
      <w:r w:rsidRPr="0011210E">
        <w:rPr>
          <w:rFonts w:cs="Arial"/>
          <w:color w:val="auto"/>
        </w:rPr>
        <w:t>Whilst it is recognised by the Panel that optimism bias primarily focuses on over-optimism regarding delivery speed, resulting in reduced capital spend in any given year, cost increases in specific projects – such as the Seacourt Park and Ride – show a different form of project manager optimism.</w:t>
      </w:r>
      <w:r w:rsidR="0011210E" w:rsidRPr="0011210E">
        <w:rPr>
          <w:rStyle w:val="FootnoteReference"/>
          <w:rFonts w:cs="Arial"/>
          <w:color w:val="auto"/>
        </w:rPr>
        <w:footnoteReference w:id="1"/>
      </w:r>
      <w:r w:rsidRPr="0011210E">
        <w:rPr>
          <w:rFonts w:cs="Arial"/>
          <w:color w:val="auto"/>
        </w:rPr>
        <w:t xml:space="preserve"> Because the effect of the two pulls</w:t>
      </w:r>
      <w:r w:rsidR="00145F58" w:rsidRPr="0011210E">
        <w:rPr>
          <w:rFonts w:cs="Arial"/>
          <w:color w:val="auto"/>
        </w:rPr>
        <w:t xml:space="preserve"> projected</w:t>
      </w:r>
      <w:r w:rsidRPr="0011210E">
        <w:rPr>
          <w:rFonts w:cs="Arial"/>
          <w:color w:val="auto"/>
        </w:rPr>
        <w:t xml:space="preserve"> outturn figures in opposite directions, </w:t>
      </w:r>
      <w:r w:rsidR="0011210E" w:rsidRPr="0011210E">
        <w:rPr>
          <w:rFonts w:cs="Arial"/>
          <w:color w:val="auto"/>
        </w:rPr>
        <w:t>a project which is subject to both would see its variance netted off.</w:t>
      </w:r>
      <w:r w:rsidR="00145F58" w:rsidRPr="0011210E">
        <w:rPr>
          <w:rFonts w:cs="Arial"/>
          <w:color w:val="auto"/>
        </w:rPr>
        <w:t xml:space="preserve"> The smaller variance resulting from this offsetting of one action against another would give a more positive impression than </w:t>
      </w:r>
      <w:r w:rsidRPr="0011210E">
        <w:rPr>
          <w:rFonts w:cs="Arial"/>
          <w:color w:val="auto"/>
        </w:rPr>
        <w:t xml:space="preserve">the </w:t>
      </w:r>
      <w:r w:rsidR="00145F58" w:rsidRPr="0011210E">
        <w:rPr>
          <w:rFonts w:cs="Arial"/>
          <w:color w:val="auto"/>
        </w:rPr>
        <w:t xml:space="preserve">real world experience of a project which has been subject to the dual problems of </w:t>
      </w:r>
      <w:r w:rsidR="007C790E" w:rsidRPr="0011210E">
        <w:rPr>
          <w:rFonts w:cs="Arial"/>
          <w:color w:val="auto"/>
        </w:rPr>
        <w:t xml:space="preserve">both delay and overspend. </w:t>
      </w:r>
      <w:r w:rsidR="0011210E" w:rsidRPr="0011210E">
        <w:rPr>
          <w:rFonts w:cs="Arial"/>
          <w:color w:val="auto"/>
        </w:rPr>
        <w:t xml:space="preserve">Indeed, if overspend and delay were to be equal, the forecast outturn would appear to be precisely on target. </w:t>
      </w:r>
      <w:r w:rsidR="007C790E" w:rsidRPr="0011210E">
        <w:rPr>
          <w:rFonts w:cs="Arial"/>
          <w:color w:val="auto"/>
        </w:rPr>
        <w:t xml:space="preserve">As a consequence, the Panel suggests that overspends and delays are delineated in the treatment of projected capital outturns so that the presence and effects of the two problems are clearer and do not </w:t>
      </w:r>
      <w:r w:rsidR="0082636D" w:rsidRPr="0011210E">
        <w:rPr>
          <w:rFonts w:cs="Arial"/>
          <w:color w:val="auto"/>
        </w:rPr>
        <w:t>offset one another.</w:t>
      </w:r>
    </w:p>
    <w:p w:rsidR="00425AEB" w:rsidRDefault="00425AEB" w:rsidP="0011210E">
      <w:pPr>
        <w:spacing w:after="0"/>
      </w:pPr>
    </w:p>
    <w:p w:rsidR="00AA012E" w:rsidRDefault="00C46B2A" w:rsidP="00D61919">
      <w:pPr>
        <w:spacing w:after="0"/>
        <w:ind w:left="720"/>
        <w:rPr>
          <w:color w:val="auto"/>
        </w:rPr>
      </w:pPr>
      <w:r>
        <w:rPr>
          <w:b/>
          <w:i/>
        </w:rPr>
        <w:t>Recommendation 2</w:t>
      </w:r>
      <w:bookmarkStart w:id="0" w:name="_GoBack"/>
      <w:bookmarkEnd w:id="0"/>
      <w:r w:rsidR="00E11FBC" w:rsidRPr="00E11FBC">
        <w:rPr>
          <w:b/>
          <w:i/>
        </w:rPr>
        <w:t xml:space="preserve">: </w:t>
      </w:r>
      <w:r w:rsidR="0082636D">
        <w:rPr>
          <w:b/>
          <w:i/>
        </w:rPr>
        <w:t>That in its treatment of variance from budgeted capital spends the Council delineates the impact of increased costs and slippage.</w:t>
      </w:r>
    </w:p>
    <w:p w:rsidR="00891378" w:rsidRPr="00711A76" w:rsidRDefault="00891378" w:rsidP="006A5C65">
      <w:pPr>
        <w:spacing w:after="0"/>
        <w:rPr>
          <w:color w:val="auto"/>
        </w:rPr>
      </w:pPr>
    </w:p>
    <w:p w:rsidR="00E11FBC" w:rsidRPr="00E11FBC" w:rsidRDefault="006A5C65" w:rsidP="00D61919">
      <w:pPr>
        <w:pStyle w:val="Heading1"/>
      </w:pPr>
      <w:r w:rsidRPr="006A5C65">
        <w:t xml:space="preserve">Further Consideration </w:t>
      </w:r>
    </w:p>
    <w:p w:rsidR="00D61919" w:rsidRDefault="00A25087" w:rsidP="00A25087">
      <w:pPr>
        <w:pStyle w:val="ListParagraph"/>
        <w:numPr>
          <w:ilvl w:val="0"/>
          <w:numId w:val="3"/>
        </w:numPr>
        <w:spacing w:after="0"/>
        <w:rPr>
          <w:color w:val="auto"/>
        </w:rPr>
      </w:pPr>
      <w:r>
        <w:rPr>
          <w:color w:val="auto"/>
        </w:rPr>
        <w:t xml:space="preserve">The Scrutiny Committee has agreed to consideration of quarterly Integrated Performance Reports for the remainder of the civic year. </w:t>
      </w:r>
    </w:p>
    <w:p w:rsidR="00A25087" w:rsidRDefault="00A25087" w:rsidP="00A25087">
      <w:pPr>
        <w:pStyle w:val="ListParagraph"/>
        <w:numPr>
          <w:ilvl w:val="0"/>
          <w:numId w:val="0"/>
        </w:numPr>
        <w:spacing w:after="0"/>
        <w:ind w:left="36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rsidTr="00B406B8">
        <w:trPr>
          <w:cantSplit/>
          <w:trHeight w:val="396"/>
        </w:trPr>
        <w:tc>
          <w:tcPr>
            <w:tcW w:w="3951"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47" w:type="dxa"/>
            <w:tcBorders>
              <w:top w:val="single" w:sz="8" w:space="0" w:color="000000"/>
              <w:left w:val="nil"/>
              <w:bottom w:val="single" w:sz="8" w:space="0" w:color="000000"/>
              <w:right w:val="single" w:sz="8" w:space="0" w:color="000000"/>
            </w:tcBorders>
            <w:shd w:val="clear" w:color="auto" w:fill="auto"/>
          </w:tcPr>
          <w:p w:rsidR="0088675D" w:rsidRPr="008E4D66" w:rsidRDefault="00386375" w:rsidP="00945631">
            <w:pPr>
              <w:rPr>
                <w:color w:val="auto"/>
              </w:rPr>
            </w:pPr>
            <w:r>
              <w:rPr>
                <w:color w:val="auto"/>
              </w:rPr>
              <w:t>Tom Hudson</w:t>
            </w:r>
          </w:p>
        </w:tc>
      </w:tr>
      <w:tr w:rsidR="0088675D" w:rsidRPr="008E4D66" w:rsidTr="00B406B8">
        <w:trPr>
          <w:cantSplit/>
          <w:trHeight w:val="396"/>
        </w:trPr>
        <w:tc>
          <w:tcPr>
            <w:tcW w:w="3951"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47" w:type="dxa"/>
            <w:tcBorders>
              <w:top w:val="single" w:sz="8" w:space="0" w:color="000000"/>
              <w:left w:val="nil"/>
              <w:bottom w:val="nil"/>
              <w:right w:val="single" w:sz="8" w:space="0" w:color="000000"/>
            </w:tcBorders>
            <w:shd w:val="clear" w:color="auto" w:fill="auto"/>
          </w:tcPr>
          <w:p w:rsidR="0088675D" w:rsidRPr="008E4D66" w:rsidRDefault="00386375" w:rsidP="00945631">
            <w:pPr>
              <w:rPr>
                <w:color w:val="auto"/>
              </w:rPr>
            </w:pPr>
            <w:r>
              <w:rPr>
                <w:color w:val="auto"/>
              </w:rPr>
              <w:t>Scrutiny Officer</w:t>
            </w:r>
          </w:p>
        </w:tc>
      </w:tr>
      <w:tr w:rsidR="0088675D" w:rsidRPr="008E4D66" w:rsidTr="00B406B8">
        <w:trPr>
          <w:cantSplit/>
          <w:trHeight w:val="396"/>
        </w:trPr>
        <w:tc>
          <w:tcPr>
            <w:tcW w:w="3951"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47"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B406B8">
        <w:trPr>
          <w:cantSplit/>
          <w:trHeight w:val="396"/>
        </w:trPr>
        <w:tc>
          <w:tcPr>
            <w:tcW w:w="3951"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47"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sidR="00386375">
              <w:rPr>
                <w:color w:val="auto"/>
              </w:rPr>
              <w:t>2191</w:t>
            </w:r>
          </w:p>
        </w:tc>
      </w:tr>
      <w:tr w:rsidR="0088675D" w:rsidRPr="008E4D66" w:rsidTr="00B406B8">
        <w:trPr>
          <w:cantSplit/>
          <w:trHeight w:val="396"/>
        </w:trPr>
        <w:tc>
          <w:tcPr>
            <w:tcW w:w="3951"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47" w:type="dxa"/>
            <w:tcBorders>
              <w:top w:val="nil"/>
              <w:left w:val="nil"/>
              <w:bottom w:val="single" w:sz="8" w:space="0" w:color="000000"/>
              <w:right w:val="single" w:sz="8" w:space="0" w:color="000000"/>
            </w:tcBorders>
            <w:shd w:val="clear" w:color="auto" w:fill="auto"/>
          </w:tcPr>
          <w:p w:rsidR="0088675D" w:rsidRPr="008E4D66" w:rsidRDefault="00443F72" w:rsidP="00945631">
            <w:pPr>
              <w:rPr>
                <w:rStyle w:val="Hyperlink"/>
                <w:color w:val="auto"/>
              </w:rPr>
            </w:pPr>
            <w:hyperlink r:id="rId9" w:history="1">
              <w:r w:rsidR="00E77ABE" w:rsidRPr="00825DB1">
                <w:rPr>
                  <w:rStyle w:val="Hyperlink"/>
                </w:rPr>
                <w:t>thudson@oxford.gov.uk</w:t>
              </w:r>
            </w:hyperlink>
          </w:p>
        </w:tc>
      </w:tr>
    </w:tbl>
    <w:p w:rsidR="00E77ABE" w:rsidRDefault="00E77ABE" w:rsidP="00E77ABE">
      <w:pPr>
        <w:spacing w:after="0"/>
        <w:rPr>
          <w:color w:val="auto"/>
        </w:rPr>
        <w:sectPr w:rsidR="00E77ABE" w:rsidSect="00E77AB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E77ABE" w:rsidRDefault="00E77ABE" w:rsidP="00E77ABE">
      <w:pPr>
        <w:rPr>
          <w:rFonts w:cs="Arial"/>
          <w:b/>
        </w:rPr>
      </w:pPr>
      <w:r>
        <w:rPr>
          <w:rFonts w:cs="Arial"/>
          <w:b/>
        </w:rPr>
        <w:lastRenderedPageBreak/>
        <w:t>Cabinet response to</w:t>
      </w:r>
      <w:r w:rsidRPr="00DE5736">
        <w:rPr>
          <w:rFonts w:cs="Arial"/>
          <w:b/>
        </w:rPr>
        <w:t xml:space="preserve"> </w:t>
      </w:r>
      <w:r w:rsidRPr="00D8335C">
        <w:rPr>
          <w:rFonts w:cs="Arial"/>
          <w:b/>
        </w:rPr>
        <w:t>recommend</w:t>
      </w:r>
      <w:r w:rsidR="00347559">
        <w:rPr>
          <w:rFonts w:cs="Arial"/>
          <w:b/>
        </w:rPr>
        <w:t>ations of the Finance and Performance Panel</w:t>
      </w:r>
      <w:r w:rsidRPr="00D8335C">
        <w:rPr>
          <w:rFonts w:cs="Arial"/>
          <w:b/>
        </w:rPr>
        <w:t xml:space="preserve"> made on </w:t>
      </w:r>
      <w:r w:rsidR="000D1260">
        <w:rPr>
          <w:rFonts w:cs="Arial"/>
          <w:b/>
        </w:rPr>
        <w:t>29/09</w:t>
      </w:r>
      <w:r w:rsidR="00347559">
        <w:rPr>
          <w:rFonts w:cs="Arial"/>
          <w:b/>
        </w:rPr>
        <w:t>/2020</w:t>
      </w:r>
      <w:r w:rsidRPr="00D8335C">
        <w:rPr>
          <w:rFonts w:cs="Arial"/>
          <w:b/>
        </w:rPr>
        <w:t xml:space="preserve"> concerning </w:t>
      </w:r>
      <w:r w:rsidR="00425AEB">
        <w:rPr>
          <w:rFonts w:cs="Arial"/>
          <w:b/>
        </w:rPr>
        <w:t>the Integrat</w:t>
      </w:r>
      <w:r w:rsidR="000D1260">
        <w:rPr>
          <w:rFonts w:cs="Arial"/>
          <w:b/>
        </w:rPr>
        <w:t>ed Performance Report 2020/21 Q1</w:t>
      </w:r>
      <w:r w:rsidR="00425AEB">
        <w:rPr>
          <w:rFonts w:cs="Arial"/>
          <w:b/>
        </w:rPr>
        <w:t xml:space="preserve"> report </w:t>
      </w:r>
    </w:p>
    <w:p w:rsidR="00E77ABE" w:rsidRPr="005147B8" w:rsidRDefault="00E77ABE" w:rsidP="00E77ABE">
      <w:pPr>
        <w:rPr>
          <w:rFonts w:cs="Arial"/>
          <w:b/>
        </w:rPr>
      </w:pPr>
      <w:r w:rsidRPr="005147B8">
        <w:rPr>
          <w:rFonts w:cs="Arial"/>
          <w:b/>
        </w:rPr>
        <w:t>P</w:t>
      </w:r>
      <w:r w:rsidR="00347559">
        <w:rPr>
          <w:rFonts w:cs="Arial"/>
          <w:b/>
        </w:rPr>
        <w:t>rovided by</w:t>
      </w:r>
      <w:r>
        <w:rPr>
          <w:rFonts w:cs="Arial"/>
          <w:b/>
        </w:rPr>
        <w:t xml:space="preserve"> Cabinet Member </w:t>
      </w:r>
      <w:r w:rsidR="00347559">
        <w:rPr>
          <w:rFonts w:cs="Arial"/>
          <w:b/>
        </w:rPr>
        <w:t>for Finance and Asset Management</w:t>
      </w:r>
      <w:r w:rsidR="00347559">
        <w:rPr>
          <w:b/>
        </w:rPr>
        <w:t>, Councillor Ed Turner</w:t>
      </w:r>
    </w:p>
    <w:p w:rsidR="00E77ABE" w:rsidRDefault="00E77ABE" w:rsidP="00E77ABE">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77ABE" w:rsidRPr="00AC577F" w:rsidTr="001C250D">
        <w:tc>
          <w:tcPr>
            <w:tcW w:w="6629" w:type="dxa"/>
            <w:shd w:val="clear" w:color="auto" w:fill="D9D9D9"/>
            <w:vAlign w:val="center"/>
          </w:tcPr>
          <w:p w:rsidR="00E77ABE" w:rsidRPr="00AC577F" w:rsidRDefault="00E77ABE" w:rsidP="001C250D">
            <w:pPr>
              <w:rPr>
                <w:rFonts w:cs="Arial"/>
                <w:b/>
                <w:i/>
              </w:rPr>
            </w:pPr>
            <w:r w:rsidRPr="00AC577F">
              <w:rPr>
                <w:rFonts w:cs="Arial"/>
                <w:b/>
                <w:i/>
              </w:rPr>
              <w:t>Recommendation</w:t>
            </w:r>
          </w:p>
        </w:tc>
        <w:tc>
          <w:tcPr>
            <w:tcW w:w="1134" w:type="dxa"/>
            <w:shd w:val="clear" w:color="auto" w:fill="D9D9D9"/>
            <w:vAlign w:val="center"/>
          </w:tcPr>
          <w:p w:rsidR="00E77ABE" w:rsidRPr="00AC577F" w:rsidRDefault="00E77ABE" w:rsidP="001C250D">
            <w:pPr>
              <w:rPr>
                <w:rFonts w:cs="Arial"/>
                <w:b/>
                <w:i/>
              </w:rPr>
            </w:pPr>
            <w:r w:rsidRPr="00AC577F">
              <w:rPr>
                <w:rFonts w:cs="Arial"/>
                <w:b/>
                <w:i/>
              </w:rPr>
              <w:t xml:space="preserve">Agree? </w:t>
            </w:r>
          </w:p>
        </w:tc>
        <w:tc>
          <w:tcPr>
            <w:tcW w:w="6520" w:type="dxa"/>
            <w:shd w:val="clear" w:color="auto" w:fill="D9D9D9"/>
            <w:vAlign w:val="center"/>
          </w:tcPr>
          <w:p w:rsidR="00E77ABE" w:rsidRPr="00AC577F" w:rsidRDefault="00E77ABE" w:rsidP="001C250D">
            <w:pPr>
              <w:rPr>
                <w:rFonts w:cs="Arial"/>
                <w:b/>
                <w:i/>
              </w:rPr>
            </w:pPr>
            <w:r w:rsidRPr="00AC577F">
              <w:rPr>
                <w:rFonts w:cs="Arial"/>
                <w:b/>
                <w:i/>
              </w:rPr>
              <w:t>Comment</w:t>
            </w:r>
          </w:p>
        </w:tc>
      </w:tr>
      <w:tr w:rsidR="006863AB" w:rsidRPr="00AC577F" w:rsidTr="001C250D">
        <w:trPr>
          <w:trHeight w:val="305"/>
        </w:trPr>
        <w:tc>
          <w:tcPr>
            <w:tcW w:w="6629" w:type="dxa"/>
            <w:shd w:val="clear" w:color="auto" w:fill="auto"/>
          </w:tcPr>
          <w:p w:rsidR="00C46B2A" w:rsidRPr="00C46B2A" w:rsidRDefault="00C46B2A" w:rsidP="00C46B2A">
            <w:pPr>
              <w:numPr>
                <w:ilvl w:val="0"/>
                <w:numId w:val="17"/>
              </w:numPr>
              <w:spacing w:after="0"/>
              <w:rPr>
                <w:b/>
                <w:i/>
                <w:iCs/>
                <w:szCs w:val="22"/>
              </w:rPr>
            </w:pPr>
            <w:r w:rsidRPr="00C46B2A">
              <w:rPr>
                <w:b/>
                <w:i/>
                <w:color w:val="auto"/>
              </w:rPr>
              <w:t xml:space="preserve">That the Council </w:t>
            </w:r>
            <w:r w:rsidRPr="00C46B2A">
              <w:rPr>
                <w:b/>
                <w:i/>
                <w:color w:val="auto"/>
                <w:szCs w:val="22"/>
              </w:rPr>
              <w:t>ceases to net off uncertainty over its capital programme through the use of an optimism bias, and instead uses an aggregation of the level of risks given to each project in the budget to present the proportion of that figure over which the Council is uncertain of delivery.</w:t>
            </w:r>
          </w:p>
          <w:p w:rsidR="00C46B2A" w:rsidRPr="005B17B4" w:rsidRDefault="00C46B2A" w:rsidP="00C46B2A">
            <w:pPr>
              <w:spacing w:after="0"/>
              <w:ind w:left="720"/>
              <w:rPr>
                <w:b/>
                <w:i/>
                <w:iCs/>
                <w:szCs w:val="22"/>
              </w:rPr>
            </w:pPr>
          </w:p>
        </w:tc>
        <w:tc>
          <w:tcPr>
            <w:tcW w:w="1134" w:type="dxa"/>
            <w:shd w:val="clear" w:color="auto" w:fill="auto"/>
          </w:tcPr>
          <w:p w:rsidR="006863AB" w:rsidRPr="006507F8" w:rsidRDefault="006863AB" w:rsidP="001C250D">
            <w:pPr>
              <w:rPr>
                <w:rFonts w:cs="Arial"/>
              </w:rPr>
            </w:pPr>
            <w:r>
              <w:rPr>
                <w:rFonts w:cs="Arial"/>
              </w:rPr>
              <w:t>Yes</w:t>
            </w:r>
          </w:p>
        </w:tc>
        <w:tc>
          <w:tcPr>
            <w:tcW w:w="6520" w:type="dxa"/>
            <w:shd w:val="clear" w:color="auto" w:fill="auto"/>
          </w:tcPr>
          <w:p w:rsidR="006863AB" w:rsidRPr="006507F8" w:rsidRDefault="006863AB" w:rsidP="001C250D">
            <w:pPr>
              <w:rPr>
                <w:rFonts w:cs="Arial"/>
              </w:rPr>
            </w:pPr>
            <w:r>
              <w:rPr>
                <w:rFonts w:cs="Arial"/>
              </w:rPr>
              <w:t xml:space="preserve">The Council will in future cease to make use of optimism bias calculations in its capital monitoring reporting and look to introduce a risk rating assessment of each project. </w:t>
            </w:r>
          </w:p>
        </w:tc>
      </w:tr>
      <w:tr w:rsidR="000D1260" w:rsidRPr="00AC577F" w:rsidTr="001C250D">
        <w:trPr>
          <w:trHeight w:val="305"/>
        </w:trPr>
        <w:tc>
          <w:tcPr>
            <w:tcW w:w="6629" w:type="dxa"/>
            <w:shd w:val="clear" w:color="auto" w:fill="auto"/>
          </w:tcPr>
          <w:p w:rsidR="000D1260" w:rsidRPr="005B17B4" w:rsidRDefault="000D1260" w:rsidP="00347559">
            <w:pPr>
              <w:numPr>
                <w:ilvl w:val="0"/>
                <w:numId w:val="17"/>
              </w:numPr>
              <w:spacing w:after="0"/>
              <w:rPr>
                <w:b/>
                <w:i/>
                <w:iCs/>
                <w:szCs w:val="22"/>
              </w:rPr>
            </w:pPr>
            <w:r>
              <w:rPr>
                <w:b/>
                <w:i/>
              </w:rPr>
              <w:t>That in its treatment of variance from budgeted capital spends the Council delineates the impact of increased costs and slippage.</w:t>
            </w:r>
          </w:p>
        </w:tc>
        <w:tc>
          <w:tcPr>
            <w:tcW w:w="1134" w:type="dxa"/>
            <w:shd w:val="clear" w:color="auto" w:fill="auto"/>
          </w:tcPr>
          <w:p w:rsidR="000D1260" w:rsidRPr="006507F8" w:rsidRDefault="00C92003" w:rsidP="001C250D">
            <w:pPr>
              <w:rPr>
                <w:rFonts w:cs="Arial"/>
              </w:rPr>
            </w:pPr>
            <w:r>
              <w:rPr>
                <w:rFonts w:cs="Arial"/>
              </w:rPr>
              <w:t>Yes</w:t>
            </w:r>
          </w:p>
        </w:tc>
        <w:tc>
          <w:tcPr>
            <w:tcW w:w="6520" w:type="dxa"/>
            <w:shd w:val="clear" w:color="auto" w:fill="auto"/>
          </w:tcPr>
          <w:p w:rsidR="000D1260" w:rsidRPr="006507F8" w:rsidRDefault="00C92003" w:rsidP="00C92003">
            <w:pPr>
              <w:rPr>
                <w:rFonts w:cs="Arial"/>
              </w:rPr>
            </w:pPr>
            <w:r>
              <w:rPr>
                <w:rFonts w:cs="Arial"/>
              </w:rPr>
              <w:t>Generally slippage will be reported as a ‘favourable variance’ i.e reduced budget against the original budget in year because the budget is ‘slipped’ into the following year. On some occasions the budget is brought forward from future years if spend is in advance of the amount budgeted in year. This appears as increased budget or an ‘adverse variance’. In some instances the in-year budget is increased due to overspends and in future these will be differentiated from budget that is simply brought forward.</w:t>
            </w:r>
          </w:p>
        </w:tc>
      </w:tr>
    </w:tbl>
    <w:p w:rsidR="00E77ABE" w:rsidRDefault="00E77ABE" w:rsidP="00E77ABE">
      <w:pPr>
        <w:spacing w:after="0"/>
        <w:rPr>
          <w:color w:val="auto"/>
        </w:rPr>
      </w:pPr>
    </w:p>
    <w:sectPr w:rsidR="00E77ABE" w:rsidSect="00E77ABE">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931" w:rsidRDefault="00AF7931" w:rsidP="00A13BC5">
      <w:pPr>
        <w:spacing w:after="0"/>
      </w:pPr>
      <w:r>
        <w:separator/>
      </w:r>
    </w:p>
  </w:endnote>
  <w:endnote w:type="continuationSeparator" w:id="0">
    <w:p w:rsidR="00AF7931" w:rsidRDefault="00AF7931"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60" w:rsidRDefault="000D1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60" w:rsidRDefault="000D12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60" w:rsidRDefault="000D12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559" w:rsidRPr="00347559" w:rsidRDefault="000D1260">
    <w:pPr>
      <w:pStyle w:val="Footer"/>
      <w:rPr>
        <w:b/>
      </w:rPr>
    </w:pPr>
    <w:r>
      <w:rPr>
        <w:b/>
      </w:rPr>
      <w:t>Date of Cabinet meeting: 11.11</w:t>
    </w:r>
    <w:r w:rsidR="00347559" w:rsidRPr="00347559">
      <w:rPr>
        <w:b/>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931" w:rsidRDefault="00AF7931" w:rsidP="00A13BC5">
      <w:pPr>
        <w:spacing w:after="0"/>
      </w:pPr>
      <w:r>
        <w:separator/>
      </w:r>
    </w:p>
  </w:footnote>
  <w:footnote w:type="continuationSeparator" w:id="0">
    <w:p w:rsidR="00AF7931" w:rsidRDefault="00AF7931" w:rsidP="00A13BC5">
      <w:pPr>
        <w:spacing w:after="0"/>
      </w:pPr>
      <w:r>
        <w:continuationSeparator/>
      </w:r>
    </w:p>
  </w:footnote>
  <w:footnote w:id="1">
    <w:p w:rsidR="0011210E" w:rsidRDefault="0011210E">
      <w:pPr>
        <w:pStyle w:val="FootnoteText"/>
      </w:pPr>
      <w:r>
        <w:rPr>
          <w:rStyle w:val="FootnoteReference"/>
        </w:rPr>
        <w:footnoteRef/>
      </w:r>
      <w:r>
        <w:t xml:space="preserve"> Other presentations of variance may also be subject to this issue.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60" w:rsidRDefault="000D1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60" w:rsidRDefault="000D1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60" w:rsidRDefault="000D1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A10AC9"/>
    <w:multiLevelType w:val="hybridMultilevel"/>
    <w:tmpl w:val="729083E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7F551AA"/>
    <w:multiLevelType w:val="hybridMultilevel"/>
    <w:tmpl w:val="34CA7D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8D780C"/>
    <w:multiLevelType w:val="hybridMultilevel"/>
    <w:tmpl w:val="2F2867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98365C6"/>
    <w:multiLevelType w:val="multilevel"/>
    <w:tmpl w:val="E67CE66C"/>
    <w:numStyleLink w:val="StyleNumberedLeft0cmHanging075cm"/>
  </w:abstractNum>
  <w:num w:numId="1">
    <w:abstractNumId w:val="0"/>
  </w:num>
  <w:num w:numId="2">
    <w:abstractNumId w:val="22"/>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6"/>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1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4"/>
  </w:num>
  <w:num w:numId="17">
    <w:abstractNumId w:val="15"/>
  </w:num>
  <w:num w:numId="18">
    <w:abstractNumId w:val="19"/>
  </w:num>
  <w:num w:numId="19">
    <w:abstractNumId w:val="9"/>
  </w:num>
  <w:num w:numId="20">
    <w:abstractNumId w:val="3"/>
  </w:num>
  <w:num w:numId="21">
    <w:abstractNumId w:val="20"/>
  </w:num>
  <w:num w:numId="22">
    <w:abstractNumId w:val="5"/>
  </w:num>
  <w:num w:numId="23">
    <w:abstractNumId w:val="12"/>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4FB4"/>
    <w:rsid w:val="00004FCB"/>
    <w:rsid w:val="00006366"/>
    <w:rsid w:val="000072BE"/>
    <w:rsid w:val="00015DC3"/>
    <w:rsid w:val="00022E57"/>
    <w:rsid w:val="00046154"/>
    <w:rsid w:val="00050D1B"/>
    <w:rsid w:val="00052825"/>
    <w:rsid w:val="000748E0"/>
    <w:rsid w:val="00081E37"/>
    <w:rsid w:val="00087779"/>
    <w:rsid w:val="00094C3C"/>
    <w:rsid w:val="0009670D"/>
    <w:rsid w:val="00097218"/>
    <w:rsid w:val="000A1E53"/>
    <w:rsid w:val="000A3F7D"/>
    <w:rsid w:val="000B26ED"/>
    <w:rsid w:val="000B3409"/>
    <w:rsid w:val="000B3837"/>
    <w:rsid w:val="000B4310"/>
    <w:rsid w:val="000B483B"/>
    <w:rsid w:val="000D1260"/>
    <w:rsid w:val="000E739A"/>
    <w:rsid w:val="000F1C47"/>
    <w:rsid w:val="000F2404"/>
    <w:rsid w:val="000F3B7D"/>
    <w:rsid w:val="00111DFA"/>
    <w:rsid w:val="0011210E"/>
    <w:rsid w:val="001238F1"/>
    <w:rsid w:val="001260A9"/>
    <w:rsid w:val="00131266"/>
    <w:rsid w:val="00132F00"/>
    <w:rsid w:val="00134E11"/>
    <w:rsid w:val="0013640C"/>
    <w:rsid w:val="001427F6"/>
    <w:rsid w:val="00145F58"/>
    <w:rsid w:val="00164F33"/>
    <w:rsid w:val="001655A4"/>
    <w:rsid w:val="001700EE"/>
    <w:rsid w:val="0017067E"/>
    <w:rsid w:val="00187BF5"/>
    <w:rsid w:val="00195738"/>
    <w:rsid w:val="00196F4B"/>
    <w:rsid w:val="001A1F91"/>
    <w:rsid w:val="001A5AFA"/>
    <w:rsid w:val="001A6992"/>
    <w:rsid w:val="001A6ED7"/>
    <w:rsid w:val="001B018A"/>
    <w:rsid w:val="001C272B"/>
    <w:rsid w:val="001E11AB"/>
    <w:rsid w:val="001E340D"/>
    <w:rsid w:val="001F21BF"/>
    <w:rsid w:val="001F4CBD"/>
    <w:rsid w:val="00203182"/>
    <w:rsid w:val="002105CA"/>
    <w:rsid w:val="00214C75"/>
    <w:rsid w:val="00215725"/>
    <w:rsid w:val="0023027D"/>
    <w:rsid w:val="00242486"/>
    <w:rsid w:val="002462EF"/>
    <w:rsid w:val="00255C47"/>
    <w:rsid w:val="00262F15"/>
    <w:rsid w:val="00265F20"/>
    <w:rsid w:val="00283903"/>
    <w:rsid w:val="00283BEA"/>
    <w:rsid w:val="002A02A0"/>
    <w:rsid w:val="002B55D1"/>
    <w:rsid w:val="002C5F5C"/>
    <w:rsid w:val="002C7241"/>
    <w:rsid w:val="002C78AE"/>
    <w:rsid w:val="002C7CC7"/>
    <w:rsid w:val="002D7201"/>
    <w:rsid w:val="002E1DC4"/>
    <w:rsid w:val="002F1505"/>
    <w:rsid w:val="00316952"/>
    <w:rsid w:val="00335AB9"/>
    <w:rsid w:val="003370AE"/>
    <w:rsid w:val="00337650"/>
    <w:rsid w:val="00341D6D"/>
    <w:rsid w:val="00347559"/>
    <w:rsid w:val="00360135"/>
    <w:rsid w:val="00366FB8"/>
    <w:rsid w:val="00370E23"/>
    <w:rsid w:val="00374631"/>
    <w:rsid w:val="003857C0"/>
    <w:rsid w:val="00386375"/>
    <w:rsid w:val="00386743"/>
    <w:rsid w:val="003A6550"/>
    <w:rsid w:val="003F2FDA"/>
    <w:rsid w:val="004000D7"/>
    <w:rsid w:val="00403FD9"/>
    <w:rsid w:val="004079FE"/>
    <w:rsid w:val="00415307"/>
    <w:rsid w:val="00415618"/>
    <w:rsid w:val="00425AEB"/>
    <w:rsid w:val="00425FE2"/>
    <w:rsid w:val="004370E4"/>
    <w:rsid w:val="00437FB4"/>
    <w:rsid w:val="0044462E"/>
    <w:rsid w:val="004600D0"/>
    <w:rsid w:val="004701BB"/>
    <w:rsid w:val="00472C5F"/>
    <w:rsid w:val="00475E49"/>
    <w:rsid w:val="004826C2"/>
    <w:rsid w:val="004A6C69"/>
    <w:rsid w:val="004A734A"/>
    <w:rsid w:val="004C2080"/>
    <w:rsid w:val="004C36AB"/>
    <w:rsid w:val="004E5B80"/>
    <w:rsid w:val="004F15CA"/>
    <w:rsid w:val="004F7D8A"/>
    <w:rsid w:val="00504E43"/>
    <w:rsid w:val="0051398D"/>
    <w:rsid w:val="00523690"/>
    <w:rsid w:val="00537FB5"/>
    <w:rsid w:val="005468FE"/>
    <w:rsid w:val="0055437B"/>
    <w:rsid w:val="00557813"/>
    <w:rsid w:val="0057497B"/>
    <w:rsid w:val="00576696"/>
    <w:rsid w:val="00577853"/>
    <w:rsid w:val="00580B79"/>
    <w:rsid w:val="00583DE1"/>
    <w:rsid w:val="00585DD8"/>
    <w:rsid w:val="00594BF5"/>
    <w:rsid w:val="005A3FF1"/>
    <w:rsid w:val="005A6A54"/>
    <w:rsid w:val="005B03C4"/>
    <w:rsid w:val="005B17B4"/>
    <w:rsid w:val="005C26AF"/>
    <w:rsid w:val="005F2027"/>
    <w:rsid w:val="005F62E7"/>
    <w:rsid w:val="00615FE7"/>
    <w:rsid w:val="006358C0"/>
    <w:rsid w:val="006525A6"/>
    <w:rsid w:val="00654A66"/>
    <w:rsid w:val="006572B4"/>
    <w:rsid w:val="00663FAE"/>
    <w:rsid w:val="00666C93"/>
    <w:rsid w:val="00677009"/>
    <w:rsid w:val="0068124E"/>
    <w:rsid w:val="00683667"/>
    <w:rsid w:val="00684909"/>
    <w:rsid w:val="00685DB3"/>
    <w:rsid w:val="006863AB"/>
    <w:rsid w:val="006911A0"/>
    <w:rsid w:val="006A5C65"/>
    <w:rsid w:val="006A7068"/>
    <w:rsid w:val="006B37B9"/>
    <w:rsid w:val="006C24CB"/>
    <w:rsid w:val="006C4382"/>
    <w:rsid w:val="006D02B1"/>
    <w:rsid w:val="006D10E5"/>
    <w:rsid w:val="006D6878"/>
    <w:rsid w:val="006D7601"/>
    <w:rsid w:val="006E3B64"/>
    <w:rsid w:val="006F14E6"/>
    <w:rsid w:val="006F3AA9"/>
    <w:rsid w:val="0070249A"/>
    <w:rsid w:val="00707A56"/>
    <w:rsid w:val="00711A76"/>
    <w:rsid w:val="00714E37"/>
    <w:rsid w:val="00722453"/>
    <w:rsid w:val="00736E86"/>
    <w:rsid w:val="007422A6"/>
    <w:rsid w:val="00743D6F"/>
    <w:rsid w:val="00746EF0"/>
    <w:rsid w:val="00754210"/>
    <w:rsid w:val="00761C20"/>
    <w:rsid w:val="007772EF"/>
    <w:rsid w:val="007908F4"/>
    <w:rsid w:val="007966AE"/>
    <w:rsid w:val="007B0C3F"/>
    <w:rsid w:val="007C790E"/>
    <w:rsid w:val="007D1B7D"/>
    <w:rsid w:val="007D4EB4"/>
    <w:rsid w:val="007D5C46"/>
    <w:rsid w:val="007E0E3F"/>
    <w:rsid w:val="007E24A0"/>
    <w:rsid w:val="007E5BA6"/>
    <w:rsid w:val="007F062E"/>
    <w:rsid w:val="0081651B"/>
    <w:rsid w:val="0082636D"/>
    <w:rsid w:val="00837FCC"/>
    <w:rsid w:val="00840F81"/>
    <w:rsid w:val="00856551"/>
    <w:rsid w:val="00860720"/>
    <w:rsid w:val="00867DEB"/>
    <w:rsid w:val="00876C61"/>
    <w:rsid w:val="0088675D"/>
    <w:rsid w:val="00891378"/>
    <w:rsid w:val="00897542"/>
    <w:rsid w:val="008978A8"/>
    <w:rsid w:val="008A22C6"/>
    <w:rsid w:val="008B4CD7"/>
    <w:rsid w:val="008C05AE"/>
    <w:rsid w:val="008C1689"/>
    <w:rsid w:val="008E533D"/>
    <w:rsid w:val="008E5D2B"/>
    <w:rsid w:val="009000B6"/>
    <w:rsid w:val="00903611"/>
    <w:rsid w:val="009114ED"/>
    <w:rsid w:val="00920A97"/>
    <w:rsid w:val="009227A6"/>
    <w:rsid w:val="00932080"/>
    <w:rsid w:val="00932695"/>
    <w:rsid w:val="0093630F"/>
    <w:rsid w:val="00936663"/>
    <w:rsid w:val="009767FB"/>
    <w:rsid w:val="00976B8F"/>
    <w:rsid w:val="0097712B"/>
    <w:rsid w:val="00995B20"/>
    <w:rsid w:val="009A3649"/>
    <w:rsid w:val="009A6C2C"/>
    <w:rsid w:val="009B49F1"/>
    <w:rsid w:val="009C20FA"/>
    <w:rsid w:val="009E5C82"/>
    <w:rsid w:val="009E6F93"/>
    <w:rsid w:val="009F3FC4"/>
    <w:rsid w:val="00A05E6A"/>
    <w:rsid w:val="00A106CC"/>
    <w:rsid w:val="00A13BC5"/>
    <w:rsid w:val="00A2035C"/>
    <w:rsid w:val="00A25087"/>
    <w:rsid w:val="00A26EA2"/>
    <w:rsid w:val="00A3189E"/>
    <w:rsid w:val="00A32BC3"/>
    <w:rsid w:val="00A7656C"/>
    <w:rsid w:val="00A83C39"/>
    <w:rsid w:val="00AA012E"/>
    <w:rsid w:val="00AA1876"/>
    <w:rsid w:val="00AC0712"/>
    <w:rsid w:val="00AE1C69"/>
    <w:rsid w:val="00AF7931"/>
    <w:rsid w:val="00B018EA"/>
    <w:rsid w:val="00B01F52"/>
    <w:rsid w:val="00B06D07"/>
    <w:rsid w:val="00B070A9"/>
    <w:rsid w:val="00B10055"/>
    <w:rsid w:val="00B1497D"/>
    <w:rsid w:val="00B169EC"/>
    <w:rsid w:val="00B373DD"/>
    <w:rsid w:val="00B406B8"/>
    <w:rsid w:val="00B413DC"/>
    <w:rsid w:val="00B43558"/>
    <w:rsid w:val="00B43817"/>
    <w:rsid w:val="00B44C3F"/>
    <w:rsid w:val="00B51CD4"/>
    <w:rsid w:val="00B67010"/>
    <w:rsid w:val="00B7600F"/>
    <w:rsid w:val="00B766FD"/>
    <w:rsid w:val="00B857FF"/>
    <w:rsid w:val="00B96CC0"/>
    <w:rsid w:val="00BB1EA8"/>
    <w:rsid w:val="00BB5368"/>
    <w:rsid w:val="00BB6D68"/>
    <w:rsid w:val="00BC31EC"/>
    <w:rsid w:val="00BD5087"/>
    <w:rsid w:val="00C00326"/>
    <w:rsid w:val="00C0341E"/>
    <w:rsid w:val="00C07F80"/>
    <w:rsid w:val="00C23082"/>
    <w:rsid w:val="00C25B92"/>
    <w:rsid w:val="00C31A7B"/>
    <w:rsid w:val="00C34D2A"/>
    <w:rsid w:val="00C46B2A"/>
    <w:rsid w:val="00C50DEA"/>
    <w:rsid w:val="00C528DC"/>
    <w:rsid w:val="00C62D5B"/>
    <w:rsid w:val="00C71A04"/>
    <w:rsid w:val="00C73FBE"/>
    <w:rsid w:val="00C92003"/>
    <w:rsid w:val="00C96513"/>
    <w:rsid w:val="00CB215A"/>
    <w:rsid w:val="00CC479A"/>
    <w:rsid w:val="00CC5450"/>
    <w:rsid w:val="00CC7FFD"/>
    <w:rsid w:val="00CD472C"/>
    <w:rsid w:val="00CE06AF"/>
    <w:rsid w:val="00CE6006"/>
    <w:rsid w:val="00CF24F5"/>
    <w:rsid w:val="00D01956"/>
    <w:rsid w:val="00D06D55"/>
    <w:rsid w:val="00D1043C"/>
    <w:rsid w:val="00D126DE"/>
    <w:rsid w:val="00D139AD"/>
    <w:rsid w:val="00D15716"/>
    <w:rsid w:val="00D31AB5"/>
    <w:rsid w:val="00D32640"/>
    <w:rsid w:val="00D40833"/>
    <w:rsid w:val="00D414EA"/>
    <w:rsid w:val="00D46033"/>
    <w:rsid w:val="00D46557"/>
    <w:rsid w:val="00D47380"/>
    <w:rsid w:val="00D61919"/>
    <w:rsid w:val="00D70501"/>
    <w:rsid w:val="00D71F81"/>
    <w:rsid w:val="00D8785B"/>
    <w:rsid w:val="00DA12B5"/>
    <w:rsid w:val="00DA57B7"/>
    <w:rsid w:val="00DA70EA"/>
    <w:rsid w:val="00DB1E60"/>
    <w:rsid w:val="00DB5CA6"/>
    <w:rsid w:val="00DC1B03"/>
    <w:rsid w:val="00DD7465"/>
    <w:rsid w:val="00DE52B2"/>
    <w:rsid w:val="00DE776A"/>
    <w:rsid w:val="00DF27E3"/>
    <w:rsid w:val="00DF2845"/>
    <w:rsid w:val="00DF4FC3"/>
    <w:rsid w:val="00DF625C"/>
    <w:rsid w:val="00DF6C1B"/>
    <w:rsid w:val="00E11FBC"/>
    <w:rsid w:val="00E20692"/>
    <w:rsid w:val="00E21918"/>
    <w:rsid w:val="00E21D31"/>
    <w:rsid w:val="00E24764"/>
    <w:rsid w:val="00E2578C"/>
    <w:rsid w:val="00E35325"/>
    <w:rsid w:val="00E37FC1"/>
    <w:rsid w:val="00E60051"/>
    <w:rsid w:val="00E67721"/>
    <w:rsid w:val="00E75C2A"/>
    <w:rsid w:val="00E76C42"/>
    <w:rsid w:val="00E77ABE"/>
    <w:rsid w:val="00E83BAA"/>
    <w:rsid w:val="00EA0754"/>
    <w:rsid w:val="00EA7E67"/>
    <w:rsid w:val="00EB12FA"/>
    <w:rsid w:val="00EB5646"/>
    <w:rsid w:val="00EC31FE"/>
    <w:rsid w:val="00EF2750"/>
    <w:rsid w:val="00EF5CAD"/>
    <w:rsid w:val="00F06E39"/>
    <w:rsid w:val="00F10DD2"/>
    <w:rsid w:val="00F23B47"/>
    <w:rsid w:val="00F2650B"/>
    <w:rsid w:val="00F26E07"/>
    <w:rsid w:val="00F447A1"/>
    <w:rsid w:val="00F511CE"/>
    <w:rsid w:val="00F52033"/>
    <w:rsid w:val="00F6079C"/>
    <w:rsid w:val="00F617FA"/>
    <w:rsid w:val="00F64DA9"/>
    <w:rsid w:val="00F67132"/>
    <w:rsid w:val="00F67D9A"/>
    <w:rsid w:val="00F76BEA"/>
    <w:rsid w:val="00F92A62"/>
    <w:rsid w:val="00F97BDB"/>
    <w:rsid w:val="00FB7F7D"/>
    <w:rsid w:val="00FC55B1"/>
    <w:rsid w:val="00FC5EF5"/>
    <w:rsid w:val="00FD0F86"/>
    <w:rsid w:val="00FD3A85"/>
    <w:rsid w:val="00FD4C66"/>
    <w:rsid w:val="00FD6BEA"/>
    <w:rsid w:val="00FF4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888F41-7122-4D48-BC9F-BFFA9B2D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316153211">
      <w:bodyDiv w:val="1"/>
      <w:marLeft w:val="0"/>
      <w:marRight w:val="0"/>
      <w:marTop w:val="0"/>
      <w:marBottom w:val="0"/>
      <w:divBdr>
        <w:top w:val="none" w:sz="0" w:space="0" w:color="auto"/>
        <w:left w:val="none" w:sz="0" w:space="0" w:color="auto"/>
        <w:bottom w:val="none" w:sz="0" w:space="0" w:color="auto"/>
        <w:right w:val="none" w:sz="0" w:space="0" w:color="auto"/>
      </w:divBdr>
    </w:div>
    <w:div w:id="1045907508">
      <w:bodyDiv w:val="1"/>
      <w:marLeft w:val="0"/>
      <w:marRight w:val="0"/>
      <w:marTop w:val="0"/>
      <w:marBottom w:val="0"/>
      <w:divBdr>
        <w:top w:val="none" w:sz="0" w:space="0" w:color="auto"/>
        <w:left w:val="none" w:sz="0" w:space="0" w:color="auto"/>
        <w:bottom w:val="none" w:sz="0" w:space="0" w:color="auto"/>
        <w:right w:val="none" w:sz="0" w:space="0" w:color="auto"/>
      </w:divBdr>
    </w:div>
    <w:div w:id="1511988932">
      <w:bodyDiv w:val="1"/>
      <w:marLeft w:val="0"/>
      <w:marRight w:val="0"/>
      <w:marTop w:val="0"/>
      <w:marBottom w:val="0"/>
      <w:divBdr>
        <w:top w:val="none" w:sz="0" w:space="0" w:color="auto"/>
        <w:left w:val="none" w:sz="0" w:space="0" w:color="auto"/>
        <w:bottom w:val="none" w:sz="0" w:space="0" w:color="auto"/>
        <w:right w:val="none" w:sz="0" w:space="0" w:color="auto"/>
      </w:divBdr>
    </w:div>
    <w:div w:id="15209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udson@oxford.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212D-A7CB-4584-B0DB-EBF23528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57A21EB5</Template>
  <TotalTime>1</TotalTime>
  <Pages>4</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2</cp:revision>
  <dcterms:created xsi:type="dcterms:W3CDTF">2020-11-10T16:03:00Z</dcterms:created>
  <dcterms:modified xsi:type="dcterms:W3CDTF">2020-11-10T16:03:00Z</dcterms:modified>
</cp:coreProperties>
</file>